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230" w:lineRule="auto"/>
        <w:ind w:right="701" w:firstLine="780"/>
        <w:rPr/>
      </w:pPr>
      <w:r w:rsidDel="00000000" w:rsidR="00000000" w:rsidRPr="00000000">
        <w:rPr>
          <w:rtl w:val="0"/>
        </w:rPr>
        <w:t xml:space="preserve">UNIVERSIDADE FEDERAL DE CAMPINA GRANDE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70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CENTRO DE DESENVOLVIMENTO SUSTENTÁVEL DO SEMIÁRIDO</w:t>
      </w:r>
    </w:p>
    <w:p w:rsidR="00000000" w:rsidDel="00000000" w:rsidP="00000000" w:rsidRDefault="00000000" w:rsidRPr="00000000" w14:paraId="00000004">
      <w:pPr>
        <w:pStyle w:val="Title"/>
        <w:ind w:firstLine="780"/>
        <w:rPr/>
      </w:pPr>
      <w:r w:rsidDel="00000000" w:rsidR="00000000" w:rsidRPr="00000000">
        <w:rPr>
          <w:rtl w:val="0"/>
        </w:rPr>
        <w:t xml:space="preserve">CONSELHO ADMINISTRATIVO – CONSAD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204" w:firstLine="0"/>
        <w:jc w:val="left"/>
        <w:rPr/>
      </w:pPr>
      <w:r w:rsidDel="00000000" w:rsidR="00000000" w:rsidRPr="00000000">
        <w:rPr>
          <w:rtl w:val="0"/>
        </w:rPr>
        <w:t xml:space="preserve">RESOLUÇÃO CONSAD/CDSA/UFCG Nº 001/2022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739" w:right="1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Fixa as normas e procedimentos a serem utilizados para fins de acompanhamento das atividades docentes através do Plano de Atividades Docentes (PAD) e do Relatório de Atividades Docentes (RAD).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1" w:lineRule="auto"/>
        <w:ind w:left="204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Conselho Administrativo (CONSAD) do CDSA/UFCG no uso de suas atribuições estatutárias e regimentais;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40" w:lineRule="auto"/>
        <w:ind w:left="2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Considerando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Regimento Geral da UFCG (Resolução UFCG nº 04/2004).</w:t>
      </w:r>
    </w:p>
    <w:p w:rsidR="00000000" w:rsidDel="00000000" w:rsidP="00000000" w:rsidRDefault="00000000" w:rsidRPr="00000000" w14:paraId="0000000F">
      <w:pPr>
        <w:spacing w:before="204" w:lineRule="auto"/>
        <w:ind w:left="204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 </w:t>
      </w:r>
      <w:r w:rsidDel="00000000" w:rsidR="00000000" w:rsidRPr="00000000">
        <w:rPr>
          <w:sz w:val="24"/>
          <w:szCs w:val="24"/>
          <w:rtl w:val="0"/>
        </w:rPr>
        <w:t xml:space="preserve">a Resolução UFCG/CSGAF nº 008/2009;</w:t>
      </w:r>
    </w:p>
    <w:p w:rsidR="00000000" w:rsidDel="00000000" w:rsidP="00000000" w:rsidRDefault="00000000" w:rsidRPr="00000000" w14:paraId="00000010">
      <w:pPr>
        <w:spacing w:before="180" w:lineRule="auto"/>
        <w:ind w:left="204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 </w:t>
      </w:r>
      <w:r w:rsidDel="00000000" w:rsidR="00000000" w:rsidRPr="00000000">
        <w:rPr>
          <w:sz w:val="24"/>
          <w:szCs w:val="24"/>
          <w:rtl w:val="0"/>
        </w:rPr>
        <w:t xml:space="preserve">a Resolução UFCG/CSGAF nº 03/2013;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before="180" w:lineRule="auto"/>
        <w:ind w:left="204" w:firstLine="0"/>
        <w:jc w:val="left"/>
        <w:rPr/>
      </w:pPr>
      <w:r w:rsidDel="00000000" w:rsidR="00000000" w:rsidRPr="00000000">
        <w:rPr>
          <w:rtl w:val="0"/>
        </w:rPr>
        <w:t xml:space="preserve">RESOLVE: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4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Ficam estabelecidas as normas e procedimentos </w:t>
      </w:r>
      <w:r w:rsidDel="00000000" w:rsidR="00000000" w:rsidRPr="00000000">
        <w:rPr>
          <w:sz w:val="24"/>
          <w:szCs w:val="24"/>
          <w:rtl w:val="0"/>
        </w:rPr>
        <w:t xml:space="preserve">descritos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nesta resolução para elaboração do Plano de Atividades Docente e Relatório de Atividades Docente para fins de acompanhamento das atividades docentes pelas Unidades Acadêmicas.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before="1" w:lineRule="auto"/>
        <w:ind w:right="678" w:firstLine="780"/>
        <w:rPr/>
      </w:pPr>
      <w:r w:rsidDel="00000000" w:rsidR="00000000" w:rsidRPr="00000000">
        <w:rPr>
          <w:rtl w:val="0"/>
        </w:rPr>
        <w:t xml:space="preserve">CAPÍTULO I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0" w:lineRule="auto"/>
        <w:ind w:left="780" w:right="68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DAS DISPOSIÇÕES GERAIS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4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acompanhamento das atividades docentes se fará em duas etapas: a primeira é a apreciação do Plano de Atividades Docentes (PAD) e a segunda, a apreciação do Relatório de Atividades </w:t>
      </w:r>
      <w:r w:rsidDel="00000000" w:rsidR="00000000" w:rsidRPr="00000000">
        <w:rPr>
          <w:sz w:val="24"/>
          <w:szCs w:val="24"/>
          <w:rtl w:val="0"/>
        </w:rPr>
        <w:t xml:space="preserve">Docentes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(RAD).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59" w:lineRule="auto"/>
        <w:ind w:left="101" w:right="119" w:firstLine="60.00000000000001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7" w:type="default"/>
          <w:pgSz w:h="16850" w:w="11920" w:orient="portrait"/>
          <w:pgMar w:bottom="280" w:top="1600" w:left="1500" w:right="1580" w:header="360" w:footer="36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3º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Anual de Atividades deverá contemplar as atividades e a carga horária média semanal destinada a cada atividade em conformidade com o seu regime de trabalho, de acordo com o Art. 2º da Resolução nº 08/2009 da Câmara de Gestão Administrativo-Financeiro: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69"/>
        </w:tabs>
        <w:spacing w:after="0" w:before="78" w:line="240" w:lineRule="auto"/>
        <w:ind w:left="768" w:right="0" w:hanging="1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regime de vinte horas semanais: T-20;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36"/>
        </w:tabs>
        <w:spacing w:after="0" w:before="182" w:line="259" w:lineRule="auto"/>
        <w:ind w:left="204" w:right="116" w:firstLine="4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regime de quarenta horas semanais: T-40, adotado para áreas com características específicas;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9"/>
        </w:tabs>
        <w:spacing w:after="0" w:before="160" w:line="259" w:lineRule="auto"/>
        <w:ind w:left="204" w:right="113" w:firstLine="42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regime de quarenta horas semanais com dedicação exclusiva, T-40 DE, nos termos da legislação superior e do Art. 111 do Regimento Geral da UFCG.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1" w:line="259" w:lineRule="auto"/>
        <w:ind w:left="204" w:right="111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4º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respeito à distribuição da carga horária o docente deverá elaborar o Plano e Relatório Anual de Atividades, em conformidade com os art. 3º, 4º e 5º da Resolução nº 08/2009 da CGAF/UFCG, conforme o regime de trabalho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59" w:lineRule="auto"/>
        <w:ind w:left="204" w:right="109" w:firstLine="6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docente deverá destinar para cada hora de atividade em sala de aula, a mesma quantidade de horas a serem distribuídos entre as atividades extrassalas: atendimento a discentes, elaboração e correção de provas, preparação de aulas e ou exercícios, dentre outros, conforme o art. 6º da Resolução nº 08/2009 da CGAF/UFCG.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259" w:lineRule="auto"/>
        <w:ind w:left="204" w:right="111" w:firstLine="61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atividades de ensino, de pesquisa, de extensão, produção intelectual, orientação acadêmica, relativas ao apoio acadêmico, administrativas e de representação, cargo de direção e ou de chefia que deverá compor o PAD/RAD estão contempladas no anexo I da resolução nº 08/2009 da CGAF/UFCG.</w:t>
      </w:r>
    </w:p>
    <w:p w:rsidR="00000000" w:rsidDel="00000000" w:rsidP="00000000" w:rsidRDefault="00000000" w:rsidRPr="00000000" w14:paraId="00000027">
      <w:pPr>
        <w:spacing w:before="156" w:line="259" w:lineRule="auto"/>
        <w:ind w:left="204" w:right="118" w:firstLine="616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§3º </w:t>
      </w:r>
      <w:r w:rsidDel="00000000" w:rsidR="00000000" w:rsidRPr="00000000">
        <w:rPr>
          <w:sz w:val="24"/>
          <w:szCs w:val="24"/>
          <w:rtl w:val="0"/>
        </w:rPr>
        <w:t xml:space="preserve">Com base no PPC de cada curso, caberá a cada Unidade Acadêmica definir a carga horária extrassala (máxima) dos docentes que ministrarem os componentes curriculares de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acompanhamento de atividades curriculares especiais que conduzem à obtenção de crédito</w:t>
      </w:r>
      <w:r w:rsidDel="00000000" w:rsidR="00000000" w:rsidRPr="00000000">
        <w:rPr>
          <w:sz w:val="24"/>
          <w:szCs w:val="24"/>
          <w:rtl w:val="0"/>
        </w:rPr>
        <w:t xml:space="preserve">”. São considerados componentes curriculares desta modalidade, as disciplinas de: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96"/>
        </w:tabs>
        <w:spacing w:after="0" w:before="183" w:line="240" w:lineRule="auto"/>
        <w:ind w:left="1195" w:right="0" w:hanging="142.0000000000000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Monografia;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73"/>
        </w:tabs>
        <w:spacing w:after="0" w:before="183" w:line="240" w:lineRule="auto"/>
        <w:ind w:left="1272" w:right="0" w:hanging="218.9999999999999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Estágio Curricular;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2"/>
        </w:tabs>
        <w:spacing w:after="0" w:before="182" w:line="398" w:lineRule="auto"/>
        <w:ind w:left="1054" w:right="8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Trabalho de Graduação ou TCC – Trabalho de Conclusão de Curso;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2"/>
        </w:tabs>
        <w:spacing w:after="0" w:before="182" w:line="398" w:lineRule="auto"/>
        <w:ind w:left="1054" w:right="8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Projetos Experimentais;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2"/>
        </w:tabs>
        <w:spacing w:after="0" w:before="182" w:line="398" w:lineRule="auto"/>
        <w:ind w:left="1054" w:right="8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Prática Jurídica;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2"/>
        </w:tabs>
        <w:spacing w:after="0" w:before="182" w:line="398" w:lineRule="auto"/>
        <w:ind w:left="1054" w:right="8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Prática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Terapêutica; 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2"/>
        </w:tabs>
        <w:spacing w:after="0" w:before="182" w:line="398" w:lineRule="auto"/>
        <w:ind w:left="1054" w:right="80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Atividades Correlatas.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ind w:left="1488" w:right="702" w:firstLine="0"/>
        <w:rPr/>
      </w:pPr>
      <w:r w:rsidDel="00000000" w:rsidR="00000000" w:rsidRPr="00000000">
        <w:rPr>
          <w:rtl w:val="0"/>
        </w:rPr>
        <w:t xml:space="preserve">CAPÍTULO II</w:t>
      </w:r>
    </w:p>
    <w:p w:rsidR="00000000" w:rsidDel="00000000" w:rsidP="00000000" w:rsidRDefault="00000000" w:rsidRPr="00000000" w14:paraId="00000031">
      <w:pPr>
        <w:spacing w:before="182" w:lineRule="auto"/>
        <w:ind w:left="1490" w:right="702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INSTRUÇÃO E TRAMITAÇÃO PROCESSUAL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4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5º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o procedimento da instrução processual para a apreciação dos Planos e Relatórios de Atividades Docentes: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00"/>
        </w:tabs>
        <w:spacing w:after="0" w:before="182" w:line="259" w:lineRule="auto"/>
        <w:ind w:left="204" w:right="116" w:firstLine="9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Antes do término do ano letivo vigente, a Coordenação Executiva Colegiada, realiza a abertura do processo único via Sistema Eletrônico de Informações - SEI e estabelece o prazo para o docente apresentar/anexar o Plano de Atividades Docente.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00"/>
        </w:tabs>
        <w:spacing w:after="0" w:before="182" w:line="259" w:lineRule="auto"/>
        <w:ind w:left="204" w:right="116" w:firstLine="97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Plano de Atividades Docentes deverá seguir o modelo apresentado no ANEXO I desta Resolução;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10"/>
        </w:tabs>
        <w:spacing w:after="0" w:before="162" w:line="259" w:lineRule="auto"/>
        <w:ind w:left="101" w:right="111" w:firstLine="11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Relatório de Atividades Docentes deverá seguir o modelo apresentado no ANEXO II desta Resolução;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59" w:lineRule="auto"/>
        <w:ind w:left="1054" w:right="10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IV– O Coordenador Administrativo encaminhará o processo a um relator para análise e parecer;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14"/>
        </w:tabs>
        <w:spacing w:after="0" w:before="182" w:line="261" w:lineRule="auto"/>
        <w:ind w:left="1054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O relator analisará a compatibilidade das atividades e a carga horária de ensino planejadas/relatadas com as normas estabelecidas nesta Resolução;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46"/>
        </w:tabs>
        <w:spacing w:after="0" w:before="179" w:line="259" w:lineRule="auto"/>
        <w:ind w:left="1054" w:right="11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Após parecer conclusivo apresentado pela relatoria, a Coordenação Colegiada Executiva, submete à aprovação do Colegiado da Unidade Acadêmica.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59" w:lineRule="auto"/>
        <w:ind w:left="204" w:right="0" w:firstLine="8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§1°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resultado do parecer do relator contemplado no Inciso VI caberá pedido de reconsideração ou recurso por parte do docente de acordo com a legislação vigente.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59" w:lineRule="auto"/>
        <w:ind w:left="204" w:right="116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§2°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prazos para entrega e registro no SEI, levam em conta a inexistência de interrupções acadêmicas ou demais fatores externos, supervenientes, que impeçam o cumprimento dos prazos estabelecidos para fins de cumprimento desta Resolução.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ind w:right="696" w:firstLine="780"/>
        <w:rPr/>
      </w:pPr>
      <w:r w:rsidDel="00000000" w:rsidR="00000000" w:rsidRPr="00000000">
        <w:rPr>
          <w:rtl w:val="0"/>
        </w:rPr>
        <w:t xml:space="preserve">CAPÍTULO III</w:t>
      </w:r>
    </w:p>
    <w:p w:rsidR="00000000" w:rsidDel="00000000" w:rsidP="00000000" w:rsidRDefault="00000000" w:rsidRPr="00000000" w14:paraId="00000040">
      <w:pPr>
        <w:spacing w:before="180" w:lineRule="auto"/>
        <w:ind w:left="780" w:right="6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DAS DISPOSIÇÕES FINAIS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04" w:right="12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 docente que não submeter o Plano e Relatório Anual de Atividades no prazo estabelecido, sem motivo justificado, incorrerá em descumprimento do que estabelece a legislação vigente.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59" w:lineRule="auto"/>
        <w:ind w:left="204" w:right="11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7º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Plano de Atividades Docentes servirá de base para a construção do Relatório de Atividades Docentes;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59" w:lineRule="auto"/>
        <w:ind w:left="204" w:right="11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8º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Relatório de Atividades docentes deverá ser apreciado e aprovado pelo Colegiado da Unidade Acadêmica ao qual o docente está vinculado, e poderá ser utilizado para efeitos de progressão/promoção funcional de acordo com o seu interstício respeitando a Resolução 03/2013 CSAF/UFCG.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59" w:lineRule="auto"/>
        <w:ind w:left="204" w:right="12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9º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Caberá a Coordenação Administrativa da Unidade o acompanhamento das atividades docentes, conforme o §1º do art. 9º da Resolução nº 08/2009 da CGAF/UFCG.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259" w:lineRule="auto"/>
        <w:ind w:left="204" w:right="1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°. Esta resolução entra em vigor na data de sua publicação, revogadas as disposições anteriores.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1014094</wp:posOffset>
                </wp:positionV>
                <wp:extent cx="889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564194" y="3775555"/>
                          <a:ext cx="7563612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1014094</wp:posOffset>
                </wp:positionV>
                <wp:extent cx="889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nextPage"/>
      <w:pgSz w:h="16850" w:w="11920" w:orient="portrait"/>
      <w:pgMar w:bottom="280" w:top="1260" w:left="1500" w:right="15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"/>
      <w:lvlJc w:val="left"/>
      <w:pPr>
        <w:ind w:left="1054" w:hanging="2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837" w:hanging="260"/>
      </w:pPr>
      <w:rPr/>
    </w:lvl>
    <w:lvl w:ilvl="2">
      <w:start w:val="0"/>
      <w:numFmt w:val="bullet"/>
      <w:lvlText w:val="•"/>
      <w:lvlJc w:val="left"/>
      <w:pPr>
        <w:ind w:left="2614" w:hanging="260"/>
      </w:pPr>
      <w:rPr/>
    </w:lvl>
    <w:lvl w:ilvl="3">
      <w:start w:val="0"/>
      <w:numFmt w:val="bullet"/>
      <w:lvlText w:val="•"/>
      <w:lvlJc w:val="left"/>
      <w:pPr>
        <w:ind w:left="3391" w:hanging="260"/>
      </w:pPr>
      <w:rPr/>
    </w:lvl>
    <w:lvl w:ilvl="4">
      <w:start w:val="0"/>
      <w:numFmt w:val="bullet"/>
      <w:lvlText w:val="•"/>
      <w:lvlJc w:val="left"/>
      <w:pPr>
        <w:ind w:left="4168" w:hanging="260"/>
      </w:pPr>
      <w:rPr/>
    </w:lvl>
    <w:lvl w:ilvl="5">
      <w:start w:val="0"/>
      <w:numFmt w:val="bullet"/>
      <w:lvlText w:val="•"/>
      <w:lvlJc w:val="left"/>
      <w:pPr>
        <w:ind w:left="4945" w:hanging="260"/>
      </w:pPr>
      <w:rPr/>
    </w:lvl>
    <w:lvl w:ilvl="6">
      <w:start w:val="0"/>
      <w:numFmt w:val="bullet"/>
      <w:lvlText w:val="•"/>
      <w:lvlJc w:val="left"/>
      <w:pPr>
        <w:ind w:left="5722" w:hanging="260"/>
      </w:pPr>
      <w:rPr/>
    </w:lvl>
    <w:lvl w:ilvl="7">
      <w:start w:val="0"/>
      <w:numFmt w:val="bullet"/>
      <w:lvlText w:val="•"/>
      <w:lvlJc w:val="left"/>
      <w:pPr>
        <w:ind w:left="6499" w:hanging="260"/>
      </w:pPr>
      <w:rPr/>
    </w:lvl>
    <w:lvl w:ilvl="8">
      <w:start w:val="0"/>
      <w:numFmt w:val="bullet"/>
      <w:lvlText w:val="•"/>
      <w:lvlJc w:val="left"/>
      <w:pPr>
        <w:ind w:left="7276" w:hanging="260"/>
      </w:pPr>
      <w:rPr/>
    </w:lvl>
  </w:abstractNum>
  <w:abstractNum w:abstractNumId="2">
    <w:lvl w:ilvl="0">
      <w:start w:val="5"/>
      <w:numFmt w:val="upperRoman"/>
      <w:lvlText w:val="%1"/>
      <w:lvlJc w:val="left"/>
      <w:pPr>
        <w:ind w:left="1286" w:hanging="233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upperRoman"/>
      <w:lvlText w:val="%2"/>
      <w:lvlJc w:val="left"/>
      <w:pPr>
        <w:ind w:left="204" w:hanging="219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2119" w:hanging="219"/>
      </w:pPr>
      <w:rPr/>
    </w:lvl>
    <w:lvl w:ilvl="3">
      <w:start w:val="0"/>
      <w:numFmt w:val="bullet"/>
      <w:lvlText w:val="•"/>
      <w:lvlJc w:val="left"/>
      <w:pPr>
        <w:ind w:left="2958" w:hanging="218.99999999999955"/>
      </w:pPr>
      <w:rPr/>
    </w:lvl>
    <w:lvl w:ilvl="4">
      <w:start w:val="0"/>
      <w:numFmt w:val="bullet"/>
      <w:lvlText w:val="•"/>
      <w:lvlJc w:val="left"/>
      <w:pPr>
        <w:ind w:left="3797" w:hanging="219"/>
      </w:pPr>
      <w:rPr/>
    </w:lvl>
    <w:lvl w:ilvl="5">
      <w:start w:val="0"/>
      <w:numFmt w:val="bullet"/>
      <w:lvlText w:val="•"/>
      <w:lvlJc w:val="left"/>
      <w:pPr>
        <w:ind w:left="4636" w:hanging="219"/>
      </w:pPr>
      <w:rPr/>
    </w:lvl>
    <w:lvl w:ilvl="6">
      <w:start w:val="0"/>
      <w:numFmt w:val="bullet"/>
      <w:lvlText w:val="•"/>
      <w:lvlJc w:val="left"/>
      <w:pPr>
        <w:ind w:left="5475" w:hanging="219"/>
      </w:pPr>
      <w:rPr/>
    </w:lvl>
    <w:lvl w:ilvl="7">
      <w:start w:val="0"/>
      <w:numFmt w:val="bullet"/>
      <w:lvlText w:val="•"/>
      <w:lvlJc w:val="left"/>
      <w:pPr>
        <w:ind w:left="6314" w:hanging="219"/>
      </w:pPr>
      <w:rPr/>
    </w:lvl>
    <w:lvl w:ilvl="8">
      <w:start w:val="0"/>
      <w:numFmt w:val="bullet"/>
      <w:lvlText w:val="•"/>
      <w:lvlJc w:val="left"/>
      <w:pPr>
        <w:ind w:left="7153" w:hanging="219"/>
      </w:pPr>
      <w:rPr/>
    </w:lvl>
  </w:abstractNum>
  <w:abstractNum w:abstractNumId="3">
    <w:lvl w:ilvl="0">
      <w:start w:val="1"/>
      <w:numFmt w:val="upperRoman"/>
      <w:lvlText w:val="%1"/>
      <w:lvlJc w:val="left"/>
      <w:pPr>
        <w:ind w:left="768" w:hanging="1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upperRoman"/>
      <w:lvlText w:val="%2"/>
      <w:lvlJc w:val="left"/>
      <w:pPr>
        <w:ind w:left="1195" w:hanging="142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2047" w:hanging="142"/>
      </w:pPr>
      <w:rPr/>
    </w:lvl>
    <w:lvl w:ilvl="3">
      <w:start w:val="0"/>
      <w:numFmt w:val="bullet"/>
      <w:lvlText w:val="•"/>
      <w:lvlJc w:val="left"/>
      <w:pPr>
        <w:ind w:left="2895" w:hanging="142"/>
      </w:pPr>
      <w:rPr/>
    </w:lvl>
    <w:lvl w:ilvl="4">
      <w:start w:val="0"/>
      <w:numFmt w:val="bullet"/>
      <w:lvlText w:val="•"/>
      <w:lvlJc w:val="left"/>
      <w:pPr>
        <w:ind w:left="3743" w:hanging="142"/>
      </w:pPr>
      <w:rPr/>
    </w:lvl>
    <w:lvl w:ilvl="5">
      <w:start w:val="0"/>
      <w:numFmt w:val="bullet"/>
      <w:lvlText w:val="•"/>
      <w:lvlJc w:val="left"/>
      <w:pPr>
        <w:ind w:left="4591" w:hanging="142"/>
      </w:pPr>
      <w:rPr/>
    </w:lvl>
    <w:lvl w:ilvl="6">
      <w:start w:val="0"/>
      <w:numFmt w:val="bullet"/>
      <w:lvlText w:val="•"/>
      <w:lvlJc w:val="left"/>
      <w:pPr>
        <w:ind w:left="5439" w:hanging="142.0000000000009"/>
      </w:pPr>
      <w:rPr/>
    </w:lvl>
    <w:lvl w:ilvl="7">
      <w:start w:val="0"/>
      <w:numFmt w:val="bullet"/>
      <w:lvlText w:val="•"/>
      <w:lvlJc w:val="left"/>
      <w:pPr>
        <w:ind w:left="6287" w:hanging="142"/>
      </w:pPr>
      <w:rPr/>
    </w:lvl>
    <w:lvl w:ilvl="8">
      <w:start w:val="0"/>
      <w:numFmt w:val="bullet"/>
      <w:lvlText w:val="•"/>
      <w:lvlJc w:val="left"/>
      <w:pPr>
        <w:ind w:left="7135" w:hanging="142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8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3" w:lineRule="auto"/>
      <w:ind w:left="780" w:right="680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Times New Roman" w:cs="Times New Roman" w:eastAsia="Times New Roman" w:hAnsi="Times New Roman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Times New Roman" w:cs="Times New Roman" w:eastAsia="Times New Roman" w:hAnsi="Times New Roman"/>
      <w:sz w:val="24"/>
      <w:szCs w:val="24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780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3"/>
      <w:ind w:left="780" w:right="680"/>
      <w:jc w:val="center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82"/>
      <w:ind w:left="1054"/>
    </w:pPr>
    <w:rPr>
      <w:rFonts w:ascii="Times New Roman" w:cs="Times New Roman" w:eastAsia="Times New Roman" w:hAnsi="Times New Roman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TcyAgPIdmTpL3/EHCsFgiQnZSw==">AMUW2mVO9BuVBk0oRpE49kROh/bgl0SZCtj0qh+G2WLYJuNdfLUhtCykqvtuq5ipLnsafwiW1KLvh+XakDBWoj2R/v6JypNokPV6ivkgHk0GSHF+zb3aFB0=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2022-05-19T17:49:25Z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2022-05-19T00:00:00Z</vt:filetime>
  </property>
</Properties>
</file>